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69" w:rsidRPr="0070328B" w:rsidRDefault="0070328B" w:rsidP="0070328B">
      <w:pPr>
        <w:jc w:val="center"/>
        <w:rPr>
          <w:sz w:val="28"/>
          <w:szCs w:val="28"/>
        </w:rPr>
      </w:pPr>
      <w:r w:rsidRPr="0070328B">
        <w:rPr>
          <w:sz w:val="28"/>
          <w:szCs w:val="28"/>
        </w:rPr>
        <w:t>ANALYSESKABELON</w:t>
      </w:r>
    </w:p>
    <w:p w:rsidR="0070328B" w:rsidRDefault="0070328B" w:rsidP="0070328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70328B">
        <w:rPr>
          <w:rFonts w:ascii="Helvetica" w:hAnsi="Helvetica" w:cs="Helvetica"/>
          <w:color w:val="333333"/>
          <w:sz w:val="20"/>
          <w:szCs w:val="20"/>
        </w:rPr>
        <w:br/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Det er som udgangspunkt for ambitiøse begyndere og let øvede.</w:t>
      </w:r>
      <w:r w:rsidRPr="0070328B">
        <w:rPr>
          <w:rFonts w:ascii="Helvetica" w:hAnsi="Helvetica" w:cs="Helvetica"/>
          <w:color w:val="333333"/>
          <w:sz w:val="20"/>
          <w:szCs w:val="20"/>
        </w:rPr>
        <w:br/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Derfor bruger som udgangspunkt Ny Nordisk Standard, dog med den ændring, at vi åbner med 5-farve i major.</w:t>
      </w:r>
      <w:r w:rsidRPr="0070328B">
        <w:rPr>
          <w:rFonts w:ascii="Helvetica" w:hAnsi="Helvetica" w:cs="Helvetica"/>
          <w:color w:val="333333"/>
          <w:sz w:val="20"/>
          <w:szCs w:val="20"/>
        </w:rPr>
        <w:br/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- Hvis et spil er meldt ind af et medlem, er det det spil, der skal analyseres. Hvis der ikke er meldt noget spil ind, udvælger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du</w:t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selv et spil og melder det ind til Jørgen Junge inden næste dag kl. 10.00. </w:t>
      </w:r>
      <w:r w:rsidRPr="0070328B">
        <w:rPr>
          <w:rFonts w:ascii="Helvetica" w:hAnsi="Helvetica" w:cs="Helvetica"/>
          <w:color w:val="333333"/>
          <w:sz w:val="20"/>
          <w:szCs w:val="20"/>
        </w:rPr>
        <w:br/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- Jørgen Junge lægger spillet op i Facebookgruppen uden kommentarer.</w:t>
      </w:r>
      <w:r w:rsidRPr="0070328B">
        <w:rPr>
          <w:rFonts w:ascii="Helvetica" w:hAnsi="Helvetica" w:cs="Helvetica"/>
          <w:color w:val="333333"/>
          <w:sz w:val="20"/>
          <w:szCs w:val="20"/>
        </w:rPr>
        <w:br/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- Efter en dags tid sender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du</w:t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analyse til Jørgen Junge, som lægger den ind i Facebookopslaget.</w:t>
      </w:r>
    </w:p>
    <w:p w:rsidR="0070328B" w:rsidRPr="0070328B" w:rsidRDefault="0070328B" w:rsidP="0070328B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Martin Schmidt/Arne Mikkelsen overfører analysen til www.kalundborgbridge.dk.</w:t>
      </w:r>
      <w:r w:rsidRPr="0070328B">
        <w:rPr>
          <w:rFonts w:ascii="Helvetica" w:hAnsi="Helvetica" w:cs="Helvetica"/>
          <w:color w:val="333333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0328B" w:rsidTr="0070328B">
        <w:tc>
          <w:tcPr>
            <w:tcW w:w="1925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Spil nr.</w:t>
            </w:r>
          </w:p>
        </w:tc>
        <w:tc>
          <w:tcPr>
            <w:tcW w:w="1925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Kortgiver</w:t>
            </w:r>
          </w:p>
        </w:tc>
        <w:tc>
          <w:tcPr>
            <w:tcW w:w="1926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Zonestilling</w:t>
            </w:r>
          </w:p>
        </w:tc>
        <w:tc>
          <w:tcPr>
            <w:tcW w:w="1926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Ugedag</w:t>
            </w:r>
          </w:p>
        </w:tc>
        <w:tc>
          <w:tcPr>
            <w:tcW w:w="1926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Dato</w:t>
            </w:r>
          </w:p>
        </w:tc>
      </w:tr>
      <w:tr w:rsidR="0070328B" w:rsidTr="0070328B">
        <w:tc>
          <w:tcPr>
            <w:tcW w:w="1925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25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26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26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26" w:type="dxa"/>
          </w:tcPr>
          <w:p w:rsidR="0070328B" w:rsidRDefault="0070328B" w:rsidP="0070328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70328B" w:rsidRPr="0070328B" w:rsidRDefault="0070328B" w:rsidP="0070328B">
      <w:pPr>
        <w:rPr>
          <w:sz w:val="20"/>
          <w:szCs w:val="20"/>
        </w:rPr>
      </w:pPr>
      <w:r w:rsidRPr="0070328B">
        <w:rPr>
          <w:rFonts w:ascii="Helvetica" w:hAnsi="Helvetica" w:cs="Helvetica"/>
          <w:color w:val="333333"/>
          <w:sz w:val="20"/>
          <w:szCs w:val="20"/>
        </w:rPr>
        <w:br/>
      </w:r>
      <w:r w:rsidRPr="007032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Analyse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v/ …………………….</w:t>
      </w:r>
    </w:p>
    <w:p w:rsidR="0070328B" w:rsidRDefault="0070328B" w:rsidP="0070328B"/>
    <w:tbl>
      <w:tblPr>
        <w:tblStyle w:val="Tabel-Gitter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1027"/>
        <w:gridCol w:w="1028"/>
        <w:gridCol w:w="1027"/>
        <w:gridCol w:w="1028"/>
      </w:tblGrid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  <w:r>
              <w:t>Nord</w:t>
            </w: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  <w:r>
              <w:t>Øst</w:t>
            </w: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  <w:r>
              <w:t>Syd</w:t>
            </w: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  <w:r>
              <w:t>Vest</w:t>
            </w: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  <w:tr w:rsidR="0070328B" w:rsidTr="0070328B"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7" w:type="dxa"/>
          </w:tcPr>
          <w:p w:rsidR="0070328B" w:rsidRDefault="0070328B" w:rsidP="0070328B">
            <w:pPr>
              <w:jc w:val="center"/>
            </w:pPr>
          </w:p>
        </w:tc>
        <w:tc>
          <w:tcPr>
            <w:tcW w:w="1028" w:type="dxa"/>
          </w:tcPr>
          <w:p w:rsidR="0070328B" w:rsidRDefault="0070328B" w:rsidP="0070328B">
            <w:pPr>
              <w:jc w:val="center"/>
            </w:pPr>
          </w:p>
        </w:tc>
      </w:tr>
    </w:tbl>
    <w:p w:rsidR="0070328B" w:rsidRDefault="0070328B"/>
    <w:p w:rsidR="0070328B" w:rsidRDefault="0070328B" w:rsidP="0070328B">
      <w:pPr>
        <w:spacing w:line="240" w:lineRule="auto"/>
      </w:pPr>
      <w:bookmarkStart w:id="0" w:name="_GoBack"/>
      <w:bookmarkEnd w:id="0"/>
      <w:r>
        <w:t>Analysetekst:</w:t>
      </w:r>
    </w:p>
    <w:p w:rsidR="0070328B" w:rsidRDefault="0070328B" w:rsidP="0070328B">
      <w:pPr>
        <w:spacing w:line="240" w:lineRule="auto"/>
      </w:pPr>
    </w:p>
    <w:sectPr w:rsidR="007032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8B"/>
    <w:rsid w:val="00162F5A"/>
    <w:rsid w:val="0070328B"/>
    <w:rsid w:val="008E7D9B"/>
    <w:rsid w:val="009A0569"/>
    <w:rsid w:val="00E03131"/>
    <w:rsid w:val="00E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9AD3"/>
  <w15:chartTrackingRefBased/>
  <w15:docId w15:val="{954E42E8-115E-465B-B02D-15D86314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Junge</dc:creator>
  <cp:keywords/>
  <dc:description/>
  <cp:lastModifiedBy>Jørgen Junge</cp:lastModifiedBy>
  <cp:revision>2</cp:revision>
  <dcterms:created xsi:type="dcterms:W3CDTF">2019-03-20T08:01:00Z</dcterms:created>
  <dcterms:modified xsi:type="dcterms:W3CDTF">2019-03-20T08:09:00Z</dcterms:modified>
</cp:coreProperties>
</file>